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b w:val="1"/>
          <w:bCs w:val="1"/>
          <w:smallCaps w:val="1"/>
        </w:rPr>
      </w:pPr>
      <w:r>
        <w:rPr>
          <w:b w:val="1"/>
          <w:bCs w:val="1"/>
          <w:smallCaps w:val="1"/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4489751</wp:posOffset>
            </wp:positionH>
            <wp:positionV relativeFrom="page">
              <wp:posOffset>544249</wp:posOffset>
            </wp:positionV>
            <wp:extent cx="1989715" cy="35150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" descr="Bil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715" cy="3515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ext"/>
        <w:rPr>
          <w:b w:val="1"/>
          <w:bCs w:val="1"/>
          <w:smallCaps w:val="1"/>
        </w:rPr>
      </w:pPr>
    </w:p>
    <w:p>
      <w:pPr>
        <w:pStyle w:val="Text"/>
        <w:rPr>
          <w:b w:val="1"/>
          <w:bCs w:val="1"/>
          <w:smallCaps w:val="1"/>
        </w:rPr>
      </w:pPr>
    </w:p>
    <w:p>
      <w:pPr>
        <w:pStyle w:val="Text"/>
        <w:rPr>
          <w:b w:val="1"/>
          <w:bCs w:val="1"/>
          <w:smallCaps w:val="1"/>
        </w:rPr>
      </w:pPr>
    </w:p>
    <w:p>
      <w:pPr>
        <w:pStyle w:val="Text"/>
        <w:rPr>
          <w:b w:val="1"/>
          <w:bCs w:val="1"/>
          <w:smallCaps w:val="1"/>
        </w:rPr>
      </w:pPr>
      <w:r>
        <w:rPr>
          <w:b w:val="1"/>
          <w:bCs w:val="1"/>
          <w:smallCaps w:val="1"/>
          <w:rtl w:val="0"/>
          <w:lang w:val="de-DE"/>
        </w:rPr>
        <w:t>Einsatz von Leckage</w:t>
      </w:r>
      <w:r>
        <w:rPr>
          <w:b w:val="1"/>
          <w:bCs w:val="1"/>
          <w:smallCaps w:val="1"/>
          <w:rtl w:val="0"/>
          <w:lang w:val="de-DE"/>
        </w:rPr>
        <w:t>ü</w:t>
      </w:r>
      <w:r>
        <w:rPr>
          <w:b w:val="1"/>
          <w:bCs w:val="1"/>
          <w:smallCaps w:val="1"/>
          <w:rtl w:val="0"/>
          <w:lang w:val="de-DE"/>
        </w:rPr>
        <w:t>berwachungen MAXIMAT LW CX in</w:t>
      </w:r>
    </w:p>
    <w:p>
      <w:pPr>
        <w:pStyle w:val="Text"/>
        <w:rPr>
          <w:b w:val="1"/>
          <w:bCs w:val="1"/>
          <w:smallCaps w:val="1"/>
        </w:rPr>
      </w:pPr>
      <w:r>
        <w:rPr>
          <w:b w:val="1"/>
          <w:bCs w:val="1"/>
          <w:smallCaps w:val="1"/>
          <w:rtl w:val="0"/>
          <w:lang w:val="de-DE"/>
        </w:rPr>
        <w:t>Jauche-, G</w:t>
      </w:r>
      <w:r>
        <w:rPr>
          <w:b w:val="1"/>
          <w:bCs w:val="1"/>
          <w:smallCaps w:val="1"/>
          <w:rtl w:val="0"/>
          <w:lang w:val="de-DE"/>
        </w:rPr>
        <w:t>ü</w:t>
      </w:r>
      <w:r>
        <w:rPr>
          <w:b w:val="1"/>
          <w:bCs w:val="1"/>
          <w:smallCaps w:val="1"/>
          <w:rtl w:val="0"/>
          <w:lang w:val="de-DE"/>
        </w:rPr>
        <w:t>lle- und Silagesickersaft-Anlagen (JGS-Anlagen)</w:t>
      </w:r>
    </w:p>
    <w:p>
      <w:pPr>
        <w:pStyle w:val="Text"/>
        <w:rPr>
          <w:b w:val="1"/>
          <w:bCs w:val="1"/>
          <w:smallCaps w:val="1"/>
        </w:rPr>
      </w:pPr>
      <w:r>
        <w:rPr>
          <w:b w:val="1"/>
          <w:bCs w:val="1"/>
          <w:smallCaps w:val="1"/>
          <w:rtl w:val="0"/>
          <w:lang w:val="de-DE"/>
        </w:rPr>
        <w:t>sowie Biogasanlagen</w:t>
      </w:r>
    </w:p>
    <w:p>
      <w:pPr>
        <w:pStyle w:val="Text"/>
        <w:bidi w:val="0"/>
      </w:pPr>
      <w:r>
        <w:rPr>
          <w:rtl w:val="0"/>
          <w:lang w:val="de-DE"/>
        </w:rPr>
        <w:t>————————————————————————————————————————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de-DE"/>
        </w:rPr>
        <w:t>Seit ca. 5 - 6 Jahren wird das Thema Leckage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berwachung von Becken, Beh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ltern und Wannen zur Lagerung bzw. Zwischenlagerung von Jauche, G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lle und Silagesickersaft sowie von Biogasanlagen aktueller. Ab dem 01.08.2017 trat die bundesweit g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ltige </w:t>
      </w:r>
      <w:r>
        <w:rPr>
          <w:rtl w:val="0"/>
          <w:lang w:val="de-DE"/>
        </w:rPr>
        <w:t>„</w:t>
      </w:r>
      <w:r>
        <w:rPr>
          <w:rtl w:val="0"/>
          <w:lang w:val="de-DE"/>
        </w:rPr>
        <w:t>Anlagenverordnung zum Umgang mit wassergef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hrdeten Stoffen (AwSV)</w:t>
      </w:r>
      <w:r>
        <w:rPr>
          <w:rtl w:val="0"/>
          <w:lang w:val="de-DE"/>
        </w:rPr>
        <w:t xml:space="preserve">“ </w:t>
      </w:r>
      <w:r>
        <w:rPr>
          <w:rtl w:val="0"/>
          <w:lang w:val="de-DE"/>
        </w:rPr>
        <w:t>in Kraft, in der eine einheitliche Grundlage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Errichtung und Betrieb von JGS-Anlagen sowie Biogasanlagen inkl. Leckage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berwachung beschrieben wird.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de-DE"/>
        </w:rPr>
        <w:t>Wichtige Informationen inkl. Zulassungen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r verschiedene Anbieter finden sich unter: </w:t>
      </w:r>
    </w:p>
    <w:p>
      <w:pPr>
        <w:pStyle w:val="Text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"https://www.dibt.de/de/bauprodukte/informationsportal-bauprodukte-und-bauarten/produktgruppen/bauprodukte-detail/bauprodukt/leckageerkennungssysteme-in-jgs-und-biogas-anlagen"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https://www.dibt.de/de/bauprodukte/informationsportal-bauprodukte-und-bauarten/produktgruppen/bauprodukte-detail/bauprodukt/leckageerkennungssysteme-in-jgs-und-biogas-anlagen</w:t>
      </w:r>
      <w:r>
        <w:rPr/>
        <w:fldChar w:fldCharType="end" w:fldLock="0"/>
      </w:r>
      <w:r>
        <w:rPr>
          <w:rtl w:val="0"/>
          <w:lang w:val="de-DE"/>
        </w:rPr>
        <w:t xml:space="preserve"> 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de-DE"/>
        </w:rPr>
        <w:t>Lekckage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berwachungen bestehen im Wesentlichen aus einer Kunststoffdichtungsfolie, einer Dr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nschicht mit Dr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nleitung und einer Kontrolleinrichtung (z.B. MAXIMAT LW CX).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de-DE"/>
        </w:rPr>
        <w:t>Nachfolgend Zeichnungen zur Realisierung von Leckageerkennungs-Systemen bei JGS-Anlagen:</w:t>
      </w: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1149948</wp:posOffset>
            </wp:positionH>
            <wp:positionV relativeFrom="line">
              <wp:posOffset>268004</wp:posOffset>
            </wp:positionV>
            <wp:extent cx="3238500" cy="2425700"/>
            <wp:effectExtent l="0" t="0" r="0" b="0"/>
            <wp:wrapTopAndBottom distT="152400" distB="152400"/>
            <wp:docPr id="1073741826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ild" descr="Bild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425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ext"/>
        <w:bidi w:val="0"/>
      </w:pPr>
    </w:p>
    <w:p>
      <w:pPr>
        <w:pStyle w:val="Text"/>
        <w:rPr>
          <w:sz w:val="16"/>
          <w:szCs w:val="16"/>
        </w:rPr>
      </w:pPr>
      <w:r>
        <w:rPr>
          <w:sz w:val="16"/>
          <w:szCs w:val="16"/>
          <w:rtl w:val="0"/>
          <w:lang w:val="de-DE"/>
        </w:rPr>
        <w:t>Quelle: LfU Bayern</w:t>
      </w:r>
      <w:r>
        <w:rPr>
          <w:sz w:val="16"/>
          <w:szCs w:val="16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215065</wp:posOffset>
            </wp:positionV>
            <wp:extent cx="6120057" cy="4080038"/>
            <wp:effectExtent l="0" t="0" r="0" b="0"/>
            <wp:wrapTopAndBottom distT="152400" distB="152400"/>
            <wp:docPr id="1073741827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ild" descr="Bild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40800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rPr>
          <w:sz w:val="16"/>
          <w:szCs w:val="16"/>
        </w:rPr>
      </w:pPr>
      <w:r>
        <w:rPr>
          <w:sz w:val="16"/>
          <w:szCs w:val="16"/>
          <w:rtl w:val="0"/>
          <w:lang w:val="de-DE"/>
        </w:rPr>
        <w:t>Quelle: Folien L</w:t>
      </w:r>
      <w:r>
        <w:rPr>
          <w:sz w:val="16"/>
          <w:szCs w:val="16"/>
          <w:rtl w:val="0"/>
          <w:lang w:val="de-DE"/>
        </w:rPr>
        <w:t>ü</w:t>
      </w:r>
      <w:r>
        <w:rPr>
          <w:sz w:val="16"/>
          <w:szCs w:val="16"/>
          <w:rtl w:val="0"/>
          <w:lang w:val="de-DE"/>
        </w:rPr>
        <w:t>cke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de-DE"/>
        </w:rPr>
        <w:t>Mehrere Folienhersteller und Baustoffunternehmen haben diese Markt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sich entdeckt, Konzepte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die Leckage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berwachung realisiert sowie DIBt-Zulassungen beantragt und erteilt bekommen (siehe auch link weiter oben).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de-DE"/>
        </w:rPr>
        <w:t>Als einer der ersten in Deutschland hat die Fa. GQuadrat, Krefeld (#16422), eine DIBt-Zulassung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eine Leckageerkennungs-System, urspr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nglich mit MAXIMAT LWC BX beantragt. Die Zulassung wurde dann auf MAXIMAT LW CX ge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ndert.</w:t>
      </w:r>
    </w:p>
    <w:p>
      <w:pPr>
        <w:pStyle w:val="Text"/>
        <w:bidi w:val="0"/>
      </w:pPr>
      <w:r>
        <w:rPr>
          <w:rtl w:val="0"/>
          <w:lang w:val="de-DE"/>
        </w:rPr>
        <w:t>Alle anderen haben sich an dieser Zulassung orientiert bzw. diese weitestgehend kopiert, so dass BAMO IER bei allen Zulassungen mit MAXIMAT LW CX vertreten ist.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de-DE"/>
        </w:rPr>
        <w:t>Aktuell werden Leckageerkennungs-Systeme mit MAXIMAT LW CX in gr</w:t>
      </w:r>
      <w:r>
        <w:rPr>
          <w:rtl w:val="0"/>
          <w:lang w:val="de-DE"/>
        </w:rPr>
        <w:t>öß</w:t>
      </w:r>
      <w:r>
        <w:rPr>
          <w:rtl w:val="0"/>
          <w:lang w:val="de-DE"/>
        </w:rPr>
        <w:t>erem Umfang vertrieben durch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</w:pPr>
      <w:r>
        <w:rPr>
          <w:rtl w:val="0"/>
          <w:lang w:val="de-DE"/>
        </w:rPr>
        <w:t>Hanse Baustoffe, Bad Oldesloe (# 22881)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  <w:lang w:val="de-DE"/>
        </w:rPr>
        <w:t>KAT, Wiesmoor (# 17459)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  <w:lang w:val="de-DE"/>
        </w:rPr>
        <w:t>Folien L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cke, Stadtlohn (# 17462)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  <w:lang w:val="de-DE"/>
        </w:rPr>
        <w:t>Baur Folien, Wolfertschwenden (# 11904)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  <w:lang w:val="de-DE"/>
        </w:rPr>
        <w:t>Siwoplan, Bad Zwischenahn (# 16686)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</w:pPr>
      <w:r>
        <w:rPr>
          <w:rtl w:val="0"/>
          <w:lang w:val="de-DE"/>
        </w:rPr>
        <w:t xml:space="preserve"> GQuadrat, Krefeld (# 16422) - Vertreibt nicht selbst, sondern geht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 Installateure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de-DE"/>
        </w:rPr>
        <w:t>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die Leckage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berwachung bietet BAMO IER folgende Ger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te an: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</w:pPr>
      <w:r>
        <w:rPr>
          <w:rtl w:val="0"/>
          <w:lang w:val="de-DE"/>
        </w:rPr>
        <w:t>MAXIMAT LW CX 40 0 bzw. MAXIMAT LW CX 25 0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  <w:lang w:val="de-DE"/>
        </w:rPr>
        <w:t>Zubeh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rteile wie Befestigungswinkel, Kabeldurchf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hrungen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  <w:lang w:val="de-DE"/>
        </w:rPr>
        <w:t>Signaleinrichtung MAXIMAT TC 1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  <w:lang w:val="de-DE"/>
        </w:rPr>
        <w:t>GSM-Module zur Fern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bertragung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  <w:lang w:val="de-DE"/>
        </w:rPr>
        <w:t>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Sonderf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lle NIVOIL (auch Solarausf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hrung) zur Verwendung mit MAXIMAT LW CX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de-DE"/>
        </w:rPr>
        <w:t>Mit den 6 oben genannten Unternehmen wurde folgender Umsatz realisiert: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</w:pPr>
      <w:r>
        <w:rPr>
          <w:rtl w:val="0"/>
          <w:lang w:val="de-DE"/>
        </w:rPr>
        <w:t>2020: T</w:t>
      </w:r>
      <w:r>
        <w:rPr>
          <w:rtl w:val="0"/>
          <w:lang w:val="de-DE"/>
        </w:rPr>
        <w:t xml:space="preserve">€ </w:t>
      </w:r>
      <w:r>
        <w:rPr>
          <w:rtl w:val="0"/>
          <w:lang w:val="de-DE"/>
        </w:rPr>
        <w:t>76,8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  <w:lang w:val="de-DE"/>
        </w:rPr>
        <w:t>2021: T</w:t>
      </w:r>
      <w:r>
        <w:rPr>
          <w:rtl w:val="0"/>
          <w:lang w:val="de-DE"/>
        </w:rPr>
        <w:t xml:space="preserve">€ </w:t>
      </w:r>
      <w:r>
        <w:rPr>
          <w:rtl w:val="0"/>
          <w:lang w:val="de-DE"/>
        </w:rPr>
        <w:t>66,5</w:t>
      </w:r>
    </w:p>
    <w:p>
      <w:pPr>
        <w:pStyle w:val="Text"/>
        <w:bidi w:val="0"/>
      </w:pPr>
    </w:p>
    <w:p>
      <w:pPr>
        <w:pStyle w:val="Text"/>
        <w:bidi w:val="0"/>
      </w:pPr>
      <w:r/>
    </w:p>
    <w:sectPr>
      <w:headerReference w:type="default" r:id="rId7"/>
      <w:footerReference w:type="default" r:id="rId8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rich"/>
  </w:abstractNum>
  <w:abstractNum w:abstractNumId="1">
    <w:multiLevelType w:val="hybridMultilevel"/>
    <w:styleLink w:val="Strich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Strich">
    <w:name w:val="Strich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gif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3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